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jc w:val="left"/>
        <w:textAlignment w:val="baseline"/>
        <w:rPr>
          <w:rFonts w:hint="eastAsia" w:ascii="Arial" w:hAnsi="Arial" w:cs="Arial"/>
          <w:b/>
          <w:kern w:val="0"/>
          <w:sz w:val="24"/>
          <w:szCs w:val="24"/>
          <w:lang w:val="en-GB"/>
        </w:rPr>
      </w:pPr>
    </w:p>
    <w:p>
      <w:pPr>
        <w:overflowPunct w:val="0"/>
        <w:autoSpaceDE w:val="0"/>
        <w:autoSpaceDN w:val="0"/>
        <w:adjustRightInd w:val="0"/>
        <w:jc w:val="left"/>
        <w:textAlignment w:val="baseline"/>
        <w:rPr>
          <w:rFonts w:hint="default" w:ascii="Arial" w:hAnsi="Arial" w:eastAsia="宋体" w:cs="Arial"/>
          <w:b/>
          <w:kern w:val="0"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>3GPP TSG-RAN WG2 Meeting #119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bis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-e        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ab/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                  </w:t>
      </w:r>
      <w:r>
        <w:rPr>
          <w:rFonts w:ascii="Arial" w:hAnsi="Arial" w:eastAsia="MS Mincho" w:cs="Arial"/>
          <w:b/>
          <w:kern w:val="0"/>
          <w:sz w:val="22"/>
          <w:lang w:val="en-GB" w:eastAsia="en-GB"/>
        </w:rPr>
        <w:t>R2-22</w:t>
      </w:r>
      <w:r>
        <w:rPr>
          <w:rFonts w:hint="eastAsia" w:ascii="Arial" w:hAnsi="Arial" w:eastAsia="宋体" w:cs="Arial"/>
          <w:b/>
          <w:kern w:val="0"/>
          <w:sz w:val="22"/>
          <w:lang w:val="en-US" w:eastAsia="zh-CN"/>
        </w:rPr>
        <w:t>10154</w:t>
      </w:r>
    </w:p>
    <w:p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eastAsia="宋体" w:cs="Arial"/>
          <w:b/>
          <w:bCs/>
          <w:kern w:val="0"/>
          <w:sz w:val="24"/>
          <w:szCs w:val="24"/>
          <w:lang w:val="en-GB"/>
        </w:rPr>
      </w:pPr>
      <w:r>
        <w:rPr>
          <w:rFonts w:ascii="Arial" w:hAnsi="Arial" w:eastAsia="宋体" w:cs="Arial"/>
          <w:b/>
          <w:bCs/>
          <w:kern w:val="0"/>
          <w:sz w:val="24"/>
          <w:szCs w:val="24"/>
          <w:lang w:val="en-GB"/>
        </w:rPr>
        <w:t>Electronic Meeting, 1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</w:rPr>
        <w:t>0</w:t>
      </w:r>
      <w:r>
        <w:rPr>
          <w:rFonts w:ascii="Arial" w:hAnsi="Arial" w:eastAsia="宋体" w:cs="Arial"/>
          <w:b/>
          <w:bCs/>
          <w:kern w:val="0"/>
          <w:sz w:val="24"/>
          <w:szCs w:val="24"/>
          <w:lang w:val="en-GB"/>
        </w:rPr>
        <w:t xml:space="preserve"> –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</w:rPr>
        <w:t>1</w:t>
      </w:r>
      <w:r>
        <w:rPr>
          <w:rFonts w:ascii="Arial" w:hAnsi="Arial" w:eastAsia="宋体" w:cs="Arial"/>
          <w:b/>
          <w:bCs/>
          <w:kern w:val="0"/>
          <w:sz w:val="24"/>
          <w:szCs w:val="24"/>
          <w:lang w:val="en-GB"/>
        </w:rPr>
        <w:t xml:space="preserve">9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</w:rPr>
        <w:t>October</w:t>
      </w:r>
      <w:r>
        <w:rPr>
          <w:rFonts w:ascii="Arial" w:hAnsi="Arial" w:eastAsia="宋体" w:cs="Arial"/>
          <w:b/>
          <w:bCs/>
          <w:kern w:val="0"/>
          <w:sz w:val="24"/>
          <w:szCs w:val="24"/>
          <w:lang w:val="en-GB"/>
        </w:rPr>
        <w:t>, 2022</w:t>
      </w:r>
    </w:p>
    <w:p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eastAsia="宋体" w:cs="Arial"/>
          <w:b/>
          <w:bCs/>
          <w:kern w:val="0"/>
          <w:sz w:val="24"/>
          <w:szCs w:val="20"/>
          <w:lang w:val="en-GB" w:eastAsia="ja-JP"/>
        </w:rPr>
      </w:pPr>
    </w:p>
    <w:p>
      <w:pPr>
        <w:widowControl/>
        <w:tabs>
          <w:tab w:val="left" w:pos="1985"/>
        </w:tabs>
        <w:spacing w:after="120"/>
        <w:jc w:val="left"/>
        <w:rPr>
          <w:rFonts w:ascii="Arial" w:hAnsi="Arial" w:eastAsia="宋体" w:cs="Arial"/>
          <w:b/>
          <w:bCs/>
          <w:kern w:val="0"/>
          <w:sz w:val="24"/>
          <w:szCs w:val="20"/>
        </w:rPr>
      </w:pPr>
      <w:r>
        <w:rPr>
          <w:rFonts w:ascii="Arial" w:hAnsi="Arial" w:eastAsia="MS Mincho" w:cs="Arial"/>
          <w:b/>
          <w:bCs/>
          <w:kern w:val="0"/>
          <w:sz w:val="24"/>
          <w:szCs w:val="20"/>
          <w:lang w:val="en-GB" w:eastAsia="en-US"/>
        </w:rPr>
        <w:t>Agenda item:</w:t>
      </w:r>
      <w:r>
        <w:rPr>
          <w:rFonts w:ascii="Arial" w:hAnsi="Arial" w:eastAsia="MS Mincho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/>
        </w:rPr>
        <w:t>8.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</w:rPr>
        <w:t>6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/>
        </w:rPr>
        <w:t>.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</w:rPr>
        <w:t>3</w:t>
      </w:r>
    </w:p>
    <w:p>
      <w:pPr>
        <w:widowControl/>
        <w:tabs>
          <w:tab w:val="left" w:pos="1985"/>
        </w:tabs>
        <w:spacing w:after="180"/>
        <w:ind w:left="1985" w:hanging="1985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CMCC</w:t>
      </w:r>
    </w:p>
    <w:p>
      <w:pPr>
        <w:widowControl/>
        <w:spacing w:after="180"/>
        <w:ind w:left="1985" w:hanging="1985"/>
        <w:jc w:val="left"/>
        <w:rPr>
          <w:rFonts w:ascii="Arial" w:hAnsi="Arial" w:eastAsia="宋体" w:cs="Arial"/>
          <w:b/>
          <w:bCs/>
          <w:kern w:val="0"/>
          <w:sz w:val="24"/>
          <w:szCs w:val="20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Title: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 xml:space="preserve">Discussion on the 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</w:rPr>
        <w:t>mobility enhancement for IoT-NTN</w:t>
      </w:r>
    </w:p>
    <w:p>
      <w:pPr>
        <w:widowControl/>
        <w:spacing w:after="180"/>
        <w:ind w:left="1985" w:hanging="1985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WID/SID: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GB" w:eastAsia="en-US"/>
        </w:rPr>
        <w:t>IoT_NTN_enh</w:t>
      </w:r>
    </w:p>
    <w:p>
      <w:pPr>
        <w:widowControl/>
        <w:tabs>
          <w:tab w:val="left" w:pos="1985"/>
        </w:tabs>
        <w:spacing w:after="180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Document for: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Discussion</w:t>
      </w:r>
    </w:p>
    <w:p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1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Introduction</w:t>
      </w:r>
    </w:p>
    <w:p>
      <w:pPr>
        <w:widowControl/>
        <w:spacing w:after="180"/>
        <w:rPr>
          <w:rFonts w:ascii="Arial" w:hAnsi="Arial" w:eastAsia="宋体" w:cs="Arial"/>
          <w:kern w:val="0"/>
          <w:sz w:val="20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>In RAN</w:t>
      </w:r>
      <w:r>
        <w:rPr>
          <w:rFonts w:hint="eastAsia" w:ascii="Arial" w:hAnsi="Arial" w:eastAsia="宋体" w:cs="Arial"/>
          <w:kern w:val="0"/>
          <w:sz w:val="20"/>
          <w:szCs w:val="20"/>
        </w:rPr>
        <w:t>2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>#</w:t>
      </w:r>
      <w:r>
        <w:rPr>
          <w:rFonts w:hint="eastAsia" w:ascii="Arial" w:hAnsi="Arial" w:eastAsia="宋体" w:cs="Arial"/>
          <w:kern w:val="0"/>
          <w:sz w:val="20"/>
          <w:szCs w:val="20"/>
        </w:rPr>
        <w:t>119</w:t>
      </w:r>
      <w:r>
        <w:rPr>
          <w:rFonts w:hint="eastAsia" w:ascii="Arial" w:hAnsi="Arial" w:eastAsia="宋体" w:cs="Arial"/>
          <w:kern w:val="0"/>
          <w:sz w:val="20"/>
          <w:szCs w:val="20"/>
          <w:lang w:val="en-GB"/>
        </w:rPr>
        <w:t xml:space="preserve">-e </w:t>
      </w:r>
      <w:r>
        <w:rPr>
          <w:rFonts w:hint="eastAsia" w:ascii="Arial" w:hAnsi="Arial" w:eastAsia="宋体" w:cs="Arial"/>
          <w:kern w:val="0"/>
          <w:sz w:val="20"/>
          <w:szCs w:val="20"/>
        </w:rPr>
        <w:t>[1]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 xml:space="preserve">, </w:t>
      </w:r>
      <w:r>
        <w:rPr>
          <w:rFonts w:hint="eastAsia" w:ascii="Arial" w:hAnsi="Arial" w:eastAsia="宋体" w:cs="Arial"/>
          <w:kern w:val="0"/>
          <w:sz w:val="20"/>
          <w:szCs w:val="20"/>
        </w:rPr>
        <w:t>the following agreements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kern w:val="0"/>
          <w:sz w:val="20"/>
          <w:szCs w:val="20"/>
        </w:rPr>
        <w:t>on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kern w:val="0"/>
          <w:sz w:val="20"/>
          <w:szCs w:val="20"/>
        </w:rPr>
        <w:t>mobility enhancements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kern w:val="0"/>
          <w:sz w:val="20"/>
          <w:szCs w:val="20"/>
        </w:rPr>
        <w:t>are achieved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 xml:space="preserve">: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>
            <w:pPr>
              <w:widowControl/>
              <w:spacing w:after="180"/>
              <w:rPr>
                <w:rFonts w:ascii="Arial" w:hAnsi="Arial" w:eastAsia="宋体" w:cs="Arial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GB" w:eastAsia="en-GB"/>
              </w:rPr>
              <w:t>Agreements:</w:t>
            </w:r>
          </w:p>
          <w:p>
            <w:pPr>
              <w:widowControl/>
              <w:numPr>
                <w:ilvl w:val="0"/>
                <w:numId w:val="1"/>
              </w:numPr>
              <w:spacing w:after="180"/>
              <w:rPr>
                <w:rFonts w:ascii="Arial" w:hAnsi="Arial" w:eastAsia="宋体" w:cs="Arial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GB" w:eastAsia="en-GB"/>
              </w:rPr>
              <w:t>IoT NTN can use the mechanism for neighbour cell measurements in connected mode (specified in Rel-17 for NB-IoT). FFS if any enhancements are needed (e.g. triggers) for both NB-IoT and eMTC.</w:t>
            </w:r>
          </w:p>
          <w:p>
            <w:pPr>
              <w:widowControl/>
              <w:numPr>
                <w:ilvl w:val="0"/>
                <w:numId w:val="1"/>
              </w:numPr>
              <w:spacing w:after="180"/>
              <w:rPr>
                <w:rFonts w:ascii="Arial" w:hAnsi="Arial" w:eastAsia="宋体" w:cs="Arial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GB" w:eastAsia="en-GB"/>
              </w:rPr>
              <w:t>RAN2 to continue working on a new time-based trigger for triggering intra and inter frequency measurements in connected mode, e.g. the serving cell is going to stop covering the current area, for both earth-moving and earth-fixed cell (FFS on distance-based trigger)</w:t>
            </w:r>
          </w:p>
          <w:p>
            <w:pPr>
              <w:widowControl/>
              <w:numPr>
                <w:ilvl w:val="0"/>
                <w:numId w:val="1"/>
              </w:numPr>
              <w:spacing w:after="180"/>
              <w:rPr>
                <w:rFonts w:ascii="Arial" w:hAnsi="Arial" w:eastAsia="宋体" w:cs="Arial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GB" w:eastAsia="en-GB"/>
              </w:rPr>
              <w:t>CHO enhancements for eMTC NTN (i.e. time/timer based solution) are introduced based on the R17 NR NTN solution. FFS on location-based solution</w:t>
            </w:r>
          </w:p>
          <w:p>
            <w:pPr>
              <w:widowControl/>
              <w:numPr>
                <w:ilvl w:val="0"/>
                <w:numId w:val="1"/>
              </w:numPr>
              <w:spacing w:after="180"/>
              <w:rPr>
                <w:rFonts w:ascii="Arial" w:hAnsi="Arial" w:eastAsia="宋体" w:cs="Arial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GB" w:eastAsia="en-GB"/>
              </w:rPr>
              <w:t>Measurement results reporting is not supported in Rel-18 NB-IoT NTN.</w:t>
            </w:r>
          </w:p>
        </w:tc>
      </w:tr>
    </w:tbl>
    <w:p>
      <w:pPr>
        <w:widowControl/>
        <w:spacing w:beforeLines="50" w:after="180"/>
        <w:rPr>
          <w:rFonts w:ascii="Arial" w:hAnsi="Arial" w:eastAsia="宋体" w:cs="Arial"/>
          <w:kern w:val="0"/>
          <w:sz w:val="20"/>
          <w:szCs w:val="20"/>
          <w:lang w:val="en-GB"/>
        </w:rPr>
      </w:pPr>
      <w:r>
        <w:rPr>
          <w:rFonts w:ascii="Arial" w:hAnsi="Arial" w:eastAsia="宋体" w:cs="Arial"/>
          <w:kern w:val="0"/>
          <w:sz w:val="20"/>
          <w:szCs w:val="20"/>
          <w:lang w:val="en-GB"/>
        </w:rPr>
        <w:t xml:space="preserve">This contribution will discuss the potential </w:t>
      </w:r>
      <w:r>
        <w:rPr>
          <w:rFonts w:hint="eastAsia" w:ascii="Arial" w:hAnsi="Arial" w:eastAsia="宋体" w:cs="Arial"/>
          <w:kern w:val="0"/>
          <w:sz w:val="20"/>
          <w:szCs w:val="20"/>
        </w:rPr>
        <w:t>mobility enhancements for IoT-NTN</w:t>
      </w:r>
      <w:r>
        <w:rPr>
          <w:rFonts w:ascii="Arial" w:hAnsi="Arial" w:eastAsia="宋体" w:cs="Arial"/>
          <w:kern w:val="0"/>
          <w:sz w:val="20"/>
          <w:szCs w:val="20"/>
          <w:lang w:val="en-GB"/>
        </w:rPr>
        <w:t>.</w:t>
      </w:r>
    </w:p>
    <w:p>
      <w:pPr>
        <w:keepNext/>
        <w:keepLines/>
        <w:widowControl/>
        <w:numPr>
          <w:ilvl w:val="0"/>
          <w:numId w:val="2"/>
        </w:numPr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Discussion</w:t>
      </w:r>
    </w:p>
    <w:p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hAnsi="Arial" w:eastAsia="宋体" w:cs="Arial"/>
          <w:kern w:val="0"/>
          <w:sz w:val="32"/>
          <w:szCs w:val="20"/>
        </w:rPr>
      </w:pPr>
      <w:r>
        <w:rPr>
          <w:rFonts w:ascii="Arial" w:hAnsi="Arial" w:eastAsia="宋体" w:cs="Arial"/>
          <w:kern w:val="0"/>
          <w:sz w:val="32"/>
          <w:szCs w:val="20"/>
          <w:lang w:val="en-GB"/>
        </w:rPr>
        <w:t>2.1</w:t>
      </w:r>
      <w:r>
        <w:rPr>
          <w:rFonts w:ascii="Arial" w:hAnsi="Arial" w:eastAsia="宋体" w:cs="Arial"/>
          <w:kern w:val="0"/>
          <w:sz w:val="32"/>
          <w:szCs w:val="20"/>
          <w:lang w:val="en-GB"/>
        </w:rPr>
        <w:tab/>
      </w:r>
      <w:r>
        <w:rPr>
          <w:rFonts w:hint="eastAsia" w:ascii="Arial" w:hAnsi="Arial" w:eastAsia="宋体" w:cs="Arial"/>
          <w:kern w:val="0"/>
          <w:sz w:val="32"/>
          <w:szCs w:val="20"/>
          <w:lang w:val="en-GB"/>
        </w:rPr>
        <w:t>M</w:t>
      </w:r>
      <w:r>
        <w:rPr>
          <w:rFonts w:hint="eastAsia" w:ascii="Arial" w:hAnsi="Arial" w:eastAsia="宋体" w:cs="Arial"/>
          <w:kern w:val="0"/>
          <w:sz w:val="32"/>
          <w:szCs w:val="20"/>
        </w:rPr>
        <w:t>easurement enhancements</w:t>
      </w:r>
    </w:p>
    <w:p>
      <w:pPr>
        <w:widowControl/>
        <w:spacing w:after="180"/>
        <w:rPr>
          <w:rFonts w:ascii="Arial" w:hAnsi="Arial" w:eastAsia="宋体" w:cs="Arial"/>
          <w:kern w:val="0"/>
          <w:sz w:val="20"/>
          <w:szCs w:val="20"/>
        </w:rPr>
      </w:pPr>
      <w:r>
        <w:rPr>
          <w:rFonts w:hint="eastAsia" w:ascii="Arial" w:hAnsi="Arial" w:eastAsia="宋体" w:cs="Arial"/>
          <w:kern w:val="0"/>
          <w:sz w:val="20"/>
          <w:szCs w:val="20"/>
        </w:rPr>
        <w:t xml:space="preserve">RAN2 agreed to introduce new time-based trigger for intra </w:t>
      </w:r>
      <w:r>
        <w:rPr>
          <w:rFonts w:hint="eastAsia" w:ascii="Arial" w:hAnsi="Arial" w:eastAsia="宋体" w:cs="Arial"/>
          <w:kern w:val="0"/>
          <w:sz w:val="20"/>
          <w:szCs w:val="20"/>
          <w:lang w:val="en-GB"/>
        </w:rPr>
        <w:t>and inter frequency measurements in connected mode</w:t>
      </w:r>
      <w:r>
        <w:rPr>
          <w:rFonts w:hint="eastAsia" w:ascii="Arial" w:hAnsi="Arial" w:eastAsia="宋体" w:cs="Arial"/>
          <w:kern w:val="0"/>
          <w:sz w:val="20"/>
          <w:szCs w:val="20"/>
        </w:rPr>
        <w:t xml:space="preserve">, and FFS on distance-based trigger in last meeting. </w:t>
      </w:r>
    </w:p>
    <w:p>
      <w:pPr>
        <w:widowControl/>
        <w:spacing w:after="180"/>
        <w:rPr>
          <w:rFonts w:hint="eastAsia" w:ascii="Arial" w:hAnsi="Arial" w:eastAsia="宋体" w:cs="Arial"/>
          <w:kern w:val="0"/>
          <w:sz w:val="20"/>
          <w:szCs w:val="20"/>
        </w:rPr>
      </w:pPr>
      <w:r>
        <w:rPr>
          <w:rFonts w:hint="eastAsia" w:ascii="Arial" w:hAnsi="Arial" w:eastAsia="宋体" w:cs="Arial"/>
          <w:kern w:val="0"/>
          <w:sz w:val="20"/>
          <w:szCs w:val="20"/>
        </w:rPr>
        <w:t xml:space="preserve">RAN1 discussed on optimizing the GNSS operation with sparse use of GNSS and power efficiency for long-term connection in RAN1#109-e and RAN1#110, and discussed how to perform GNSS measurement in connected mode, e.g. UE re-acquires GNSS position fix with a new gap or during RLF procedure. Anyway, UE in Rel-18 will own the capability to re-acquire GNSS position fix in connected mode according to RAN1 progress. </w:t>
      </w:r>
    </w:p>
    <w:p>
      <w:pPr>
        <w:widowControl/>
        <w:spacing w:after="180"/>
        <w:rPr>
          <w:rFonts w:ascii="Arial" w:hAnsi="Arial" w:eastAsia="宋体" w:cs="Arial"/>
          <w:b/>
          <w:kern w:val="0"/>
          <w:sz w:val="20"/>
          <w:szCs w:val="20"/>
        </w:rPr>
      </w:pPr>
      <w:r>
        <w:rPr>
          <w:rFonts w:hint="eastAsia" w:ascii="Arial" w:hAnsi="Arial" w:eastAsia="宋体" w:cs="Arial"/>
          <w:b/>
          <w:kern w:val="0"/>
          <w:sz w:val="20"/>
          <w:szCs w:val="20"/>
        </w:rPr>
        <w:t>Observation 1: UE in Rel-18 will be in capacity of re-acquiring GNSS position fix in connected mode according to RAN1 progress.</w:t>
      </w:r>
    </w:p>
    <w:p>
      <w:pPr>
        <w:widowControl/>
        <w:spacing w:after="180"/>
        <w:rPr>
          <w:rFonts w:ascii="Arial" w:hAnsi="Arial" w:eastAsia="宋体" w:cs="Arial"/>
          <w:kern w:val="0"/>
          <w:sz w:val="20"/>
          <w:szCs w:val="20"/>
        </w:rPr>
      </w:pPr>
      <w:r>
        <w:rPr>
          <w:rFonts w:hint="eastAsia" w:ascii="Arial" w:hAnsi="Arial" w:eastAsia="宋体" w:cs="Arial"/>
          <w:kern w:val="0"/>
          <w:sz w:val="20"/>
          <w:szCs w:val="20"/>
        </w:rPr>
        <w:t>Therefore, from our perspective, the distance-based trigger can be also supported for IoT-NTN. This means that the UE can start the neighbour cell measurement when the UE is in the cell edge. The similar mechanism in NR NTN can be reused for IoT-NTN.</w:t>
      </w:r>
    </w:p>
    <w:p>
      <w:pPr>
        <w:widowControl/>
        <w:numPr>
          <w:ilvl w:val="0"/>
          <w:numId w:val="3"/>
        </w:numPr>
        <w:spacing w:after="180"/>
        <w:rPr>
          <w:rFonts w:ascii="Arial" w:hAnsi="Arial" w:eastAsia="宋体" w:cs="Arial"/>
          <w:kern w:val="0"/>
          <w:sz w:val="20"/>
          <w:szCs w:val="20"/>
        </w:rPr>
      </w:pPr>
      <w:r>
        <w:rPr>
          <w:rFonts w:hint="eastAsia" w:ascii="Arial" w:hAnsi="Arial" w:eastAsia="宋体" w:cs="Arial"/>
          <w:kern w:val="0"/>
          <w:sz w:val="20"/>
          <w:szCs w:val="20"/>
        </w:rPr>
        <w:t xml:space="preserve">For quasi-fixed cell scenario, the cell broadcasts a reference point and location-related parameter (a threshold). The UE can decide whether it is in the cell edge based on the reference point and the threshold. </w:t>
      </w:r>
    </w:p>
    <w:p>
      <w:pPr>
        <w:widowControl/>
        <w:numPr>
          <w:ilvl w:val="0"/>
          <w:numId w:val="3"/>
        </w:numPr>
        <w:spacing w:after="180"/>
        <w:rPr>
          <w:rFonts w:ascii="Arial" w:hAnsi="Arial" w:eastAsia="宋体" w:cs="Arial"/>
          <w:kern w:val="0"/>
          <w:sz w:val="20"/>
          <w:szCs w:val="20"/>
        </w:rPr>
      </w:pPr>
      <w:r>
        <w:rPr>
          <w:rFonts w:hint="eastAsia" w:ascii="Arial" w:hAnsi="Arial" w:eastAsia="宋体" w:cs="Arial"/>
          <w:kern w:val="0"/>
          <w:sz w:val="20"/>
          <w:szCs w:val="20"/>
        </w:rPr>
        <w:t>For moving cell scenario, the cell also broadcasts a reference point and a threshold, but the cell center changes with the moving of the satellite. In our understanding, the UE can calculate the current reference point based on the reference point and the ephemeris.</w:t>
      </w:r>
    </w:p>
    <w:p>
      <w:pPr>
        <w:widowControl/>
        <w:spacing w:after="180"/>
        <w:rPr>
          <w:rFonts w:ascii="Arial" w:hAnsi="Arial" w:eastAsia="宋体" w:cs="Arial"/>
          <w:b/>
          <w:bCs/>
          <w:kern w:val="0"/>
          <w:sz w:val="20"/>
          <w:szCs w:val="20"/>
        </w:rPr>
      </w:pPr>
      <w:r>
        <w:rPr>
          <w:rFonts w:hint="eastAsia" w:ascii="Arial" w:hAnsi="Arial" w:eastAsia="宋体" w:cs="Arial"/>
          <w:b/>
          <w:bCs/>
          <w:kern w:val="0"/>
          <w:sz w:val="20"/>
          <w:szCs w:val="20"/>
        </w:rPr>
        <w:t>Proposal 1: RAN2 is proposed to introduce distance-based trigger for triggering intra and inter frequency measurements in connected mode, e.g. the UE is in the cell edge, for both quasi-earth fixed cell and moving cell.</w:t>
      </w:r>
    </w:p>
    <w:p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hAnsi="Arial" w:eastAsia="宋体" w:cs="Arial"/>
          <w:kern w:val="0"/>
          <w:sz w:val="32"/>
          <w:szCs w:val="20"/>
        </w:rPr>
      </w:pPr>
      <w:r>
        <w:rPr>
          <w:rFonts w:ascii="Arial" w:hAnsi="Arial" w:eastAsia="宋体" w:cs="Arial"/>
          <w:kern w:val="0"/>
          <w:sz w:val="32"/>
          <w:szCs w:val="20"/>
          <w:lang w:val="en-GB" w:eastAsia="en-US"/>
        </w:rPr>
        <w:t>2.2</w:t>
      </w:r>
      <w:r>
        <w:rPr>
          <w:rFonts w:ascii="Arial" w:hAnsi="Arial" w:eastAsia="宋体" w:cs="Arial"/>
          <w:kern w:val="0"/>
          <w:sz w:val="32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kern w:val="0"/>
          <w:sz w:val="32"/>
          <w:szCs w:val="20"/>
        </w:rPr>
        <w:t>Mobility enhancements for eMTC</w:t>
      </w:r>
    </w:p>
    <w:p>
      <w:pPr>
        <w:spacing w:after="160" w:line="259" w:lineRule="auto"/>
        <w:rPr>
          <w:rFonts w:ascii="Arial" w:hAnsi="Arial" w:eastAsia="宋体" w:cs="Arial"/>
          <w:kern w:val="0"/>
          <w:sz w:val="20"/>
          <w:szCs w:val="20"/>
        </w:rPr>
      </w:pPr>
      <w:r>
        <w:rPr>
          <w:rFonts w:hint="eastAsia" w:ascii="Arial" w:hAnsi="Arial" w:eastAsia="宋体" w:cs="Arial"/>
          <w:kern w:val="0"/>
          <w:sz w:val="20"/>
          <w:szCs w:val="20"/>
        </w:rPr>
        <w:t>In last meeting, RAN2 agreed to introduce time/timer based solution for eMTC NTN, and FFS for location based solution. In Rel-17 IoT-NTN, there is no clear difference in RSRP between the cell edge and cell center. Therefore RAN2 introduced location based CHO in NR NTN.</w:t>
      </w:r>
    </w:p>
    <w:p>
      <w:pPr>
        <w:spacing w:after="160" w:line="259" w:lineRule="auto"/>
        <w:rPr>
          <w:rFonts w:ascii="Arial" w:hAnsi="Arial" w:eastAsia="宋体" w:cs="Arial"/>
          <w:kern w:val="0"/>
          <w:sz w:val="20"/>
          <w:szCs w:val="20"/>
        </w:rPr>
      </w:pPr>
      <w:r>
        <w:rPr>
          <w:rFonts w:hint="eastAsia" w:ascii="Arial" w:hAnsi="Arial" w:eastAsia="宋体" w:cs="Arial"/>
          <w:kern w:val="0"/>
          <w:sz w:val="20"/>
          <w:szCs w:val="20"/>
        </w:rPr>
        <w:t>In location based solution, the new conditional triggering event (i.e. condEvent L4) is introduced. Specifically, distance between UE and the PCell</w:t>
      </w:r>
      <w:r>
        <w:rPr>
          <w:rFonts w:ascii="Arial" w:hAnsi="Arial" w:eastAsia="宋体" w:cs="Arial"/>
          <w:kern w:val="0"/>
          <w:sz w:val="20"/>
          <w:szCs w:val="20"/>
        </w:rPr>
        <w:t>’</w:t>
      </w:r>
      <w:r>
        <w:rPr>
          <w:rFonts w:hint="eastAsia" w:ascii="Arial" w:hAnsi="Arial" w:eastAsia="宋体" w:cs="Arial"/>
          <w:kern w:val="0"/>
          <w:sz w:val="20"/>
          <w:szCs w:val="20"/>
        </w:rPr>
        <w:t xml:space="preserve">s reference location becomes larger than absolute </w:t>
      </w:r>
      <w:r>
        <w:rPr>
          <w:rFonts w:hint="eastAsia" w:ascii="Arial" w:hAnsi="Arial" w:eastAsia="宋体" w:cs="Arial"/>
          <w:i/>
          <w:iCs/>
          <w:kern w:val="0"/>
          <w:sz w:val="20"/>
          <w:szCs w:val="20"/>
        </w:rPr>
        <w:t xml:space="preserve">threshold1 </w:t>
      </w:r>
      <w:r>
        <w:rPr>
          <w:rFonts w:hint="eastAsia" w:ascii="Arial" w:hAnsi="Arial" w:eastAsia="宋体" w:cs="Arial"/>
          <w:kern w:val="0"/>
          <w:sz w:val="20"/>
          <w:szCs w:val="20"/>
        </w:rPr>
        <w:t xml:space="preserve">AND the distance between UE and the Conditional reconfiguration candidate becomes shorter than absolute </w:t>
      </w:r>
      <w:r>
        <w:rPr>
          <w:rFonts w:hint="eastAsia" w:ascii="Arial" w:hAnsi="Arial" w:eastAsia="宋体" w:cs="Arial"/>
          <w:i/>
          <w:iCs/>
          <w:kern w:val="0"/>
          <w:sz w:val="20"/>
          <w:szCs w:val="20"/>
        </w:rPr>
        <w:t>threshold2</w:t>
      </w:r>
      <w:r>
        <w:rPr>
          <w:rFonts w:hint="eastAsia" w:ascii="Arial" w:hAnsi="Arial" w:eastAsia="宋体" w:cs="Arial"/>
          <w:kern w:val="0"/>
          <w:sz w:val="20"/>
          <w:szCs w:val="20"/>
        </w:rPr>
        <w:t xml:space="preserve">. An example </w:t>
      </w:r>
      <w:r>
        <w:rPr>
          <w:rFonts w:ascii="Arial" w:hAnsi="Arial" w:cs="Arial"/>
          <w:sz w:val="20"/>
          <w:szCs w:val="20"/>
        </w:rPr>
        <w:t xml:space="preserve">for </w:t>
      </w:r>
      <w:r>
        <w:rPr>
          <w:rFonts w:hint="eastAsia" w:ascii="Arial" w:hAnsi="Arial" w:cs="Arial"/>
          <w:sz w:val="20"/>
          <w:szCs w:val="20"/>
        </w:rPr>
        <w:t>location</w:t>
      </w:r>
      <w:r>
        <w:rPr>
          <w:rFonts w:ascii="Arial" w:hAnsi="Arial" w:cs="Arial"/>
          <w:sz w:val="20"/>
          <w:szCs w:val="20"/>
        </w:rPr>
        <w:t xml:space="preserve"> based solution</w:t>
      </w:r>
      <w:r>
        <w:rPr>
          <w:rFonts w:hint="eastAsia" w:ascii="Arial" w:hAnsi="Arial" w:cs="Arial"/>
          <w:sz w:val="20"/>
          <w:szCs w:val="20"/>
        </w:rPr>
        <w:t xml:space="preserve"> </w:t>
      </w:r>
      <w:r>
        <w:rPr>
          <w:rFonts w:hint="eastAsia" w:ascii="Arial" w:hAnsi="Arial" w:eastAsia="宋体" w:cs="Arial"/>
          <w:kern w:val="0"/>
          <w:sz w:val="20"/>
          <w:szCs w:val="20"/>
        </w:rPr>
        <w:t xml:space="preserve">is shown in Figure 2.2-1, the UE will perform CHO when </w:t>
      </w:r>
      <w:r>
        <w:rPr>
          <w:rFonts w:hint="eastAsia" w:ascii="Arial" w:hAnsi="Arial" w:eastAsia="宋体" w:cs="Arial"/>
          <w:i/>
          <w:iCs/>
          <w:kern w:val="0"/>
          <w:sz w:val="20"/>
          <w:szCs w:val="20"/>
        </w:rPr>
        <w:t>d1&gt;threshold1 and d2&lt;threshold2</w:t>
      </w:r>
      <w:r>
        <w:rPr>
          <w:rFonts w:hint="eastAsia" w:ascii="Arial" w:hAnsi="Arial" w:eastAsia="宋体" w:cs="Arial"/>
          <w:kern w:val="0"/>
          <w:sz w:val="20"/>
          <w:szCs w:val="20"/>
        </w:rPr>
        <w:t xml:space="preserve">. </w:t>
      </w:r>
    </w:p>
    <w:p>
      <w:pPr>
        <w:widowControl/>
        <w:spacing w:after="180"/>
        <w:jc w:val="center"/>
      </w:pPr>
      <w:r>
        <w:drawing>
          <wp:inline distT="0" distB="0" distL="114300" distR="114300">
            <wp:extent cx="2277745" cy="1716405"/>
            <wp:effectExtent l="0" t="0" r="8255" b="1079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7745" cy="171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60" w:line="259" w:lineRule="auto"/>
        <w:jc w:val="center"/>
        <w:rPr>
          <w:rFonts w:ascii="Arial" w:hAnsi="Arial" w:eastAsia="宋体" w:cs="Arial"/>
          <w:kern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Figure 2.2-</w:t>
      </w:r>
      <w:r>
        <w:rPr>
          <w:rFonts w:hint="eastAsia"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: An example for </w:t>
      </w:r>
      <w:r>
        <w:rPr>
          <w:rFonts w:hint="eastAsia" w:ascii="Arial" w:hAnsi="Arial" w:cs="Arial"/>
          <w:sz w:val="20"/>
          <w:szCs w:val="20"/>
        </w:rPr>
        <w:t>location</w:t>
      </w:r>
      <w:r>
        <w:rPr>
          <w:rFonts w:ascii="Arial" w:hAnsi="Arial" w:cs="Arial"/>
          <w:sz w:val="20"/>
          <w:szCs w:val="20"/>
        </w:rPr>
        <w:t xml:space="preserve"> based solution</w:t>
      </w:r>
    </w:p>
    <w:p>
      <w:pPr>
        <w:widowControl/>
        <w:spacing w:after="180"/>
        <w:rPr>
          <w:rFonts w:ascii="Arial" w:hAnsi="Arial" w:cs="Arial"/>
        </w:rPr>
      </w:pPr>
      <w:r>
        <w:rPr>
          <w:rFonts w:hint="eastAsia" w:ascii="Arial" w:hAnsi="Arial" w:cs="Arial"/>
        </w:rPr>
        <w:t>In addition, joint time-based and location-based CHO execution triggering for the same candidate cell is not supported in Rel-17 NR NTN.</w:t>
      </w:r>
    </w:p>
    <w:p>
      <w:pPr>
        <w:widowControl/>
        <w:spacing w:after="180"/>
        <w:rPr>
          <w:rFonts w:ascii="Arial" w:hAnsi="Arial" w:cs="Arial"/>
        </w:rPr>
      </w:pPr>
      <w:r>
        <w:rPr>
          <w:rFonts w:hint="eastAsia" w:ascii="Arial" w:hAnsi="Arial" w:cs="Arial"/>
        </w:rPr>
        <w:t xml:space="preserve">Similar to above analysis in section 2.1, as the </w:t>
      </w:r>
      <w:r>
        <w:rPr>
          <w:rFonts w:hint="eastAsia" w:ascii="Arial" w:hAnsi="Arial" w:eastAsia="宋体" w:cs="Arial"/>
          <w:kern w:val="0"/>
          <w:sz w:val="20"/>
          <w:szCs w:val="20"/>
        </w:rPr>
        <w:t>UE has the capability to re-acquire GNSS position fix in connected mode f</w:t>
      </w:r>
      <w:r>
        <w:rPr>
          <w:rFonts w:hint="eastAsia" w:ascii="Arial" w:hAnsi="Arial" w:cs="Arial"/>
        </w:rPr>
        <w:t xml:space="preserve">or R18 IoT-NTN, we think the location based CHO similar to R17 NR NTN solution can be reused. </w:t>
      </w:r>
    </w:p>
    <w:p>
      <w:pPr>
        <w:widowControl/>
        <w:spacing w:after="180"/>
      </w:pPr>
      <w:r>
        <w:rPr>
          <w:rFonts w:ascii="Arial" w:hAnsi="Arial" w:cs="Arial"/>
          <w:b/>
          <w:bCs/>
        </w:rPr>
        <w:t xml:space="preserve">Proposal </w:t>
      </w:r>
      <w:r>
        <w:rPr>
          <w:rFonts w:hint="eastAsia"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:</w:t>
      </w:r>
      <w:r>
        <w:rPr>
          <w:rFonts w:hint="eastAsia" w:ascii="Arial" w:hAnsi="Arial" w:cs="Arial"/>
          <w:b/>
          <w:bCs/>
        </w:rPr>
        <w:t xml:space="preserve"> RAN2 is proposed to introduce location based CHO mechanism similar to R17 NR NTN solution for eMTC NTN.</w:t>
      </w:r>
    </w:p>
    <w:p>
      <w:pPr>
        <w:spacing w:after="160" w:line="259" w:lineRule="auto"/>
        <w:rPr>
          <w:lang w:val="en-GB"/>
        </w:rPr>
      </w:pPr>
    </w:p>
    <w:p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3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Conclusion</w:t>
      </w:r>
    </w:p>
    <w:p>
      <w:pPr>
        <w:widowControl/>
        <w:spacing w:after="180"/>
        <w:rPr>
          <w:rFonts w:ascii="Arial" w:hAnsi="Arial" w:eastAsia="宋体" w:cs="Arial"/>
          <w:kern w:val="0"/>
          <w:sz w:val="20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 xml:space="preserve">Here are the proposals for </w:t>
      </w:r>
      <w:r>
        <w:rPr>
          <w:rFonts w:hint="eastAsia" w:ascii="Arial" w:hAnsi="Arial" w:eastAsia="宋体" w:cs="Arial"/>
          <w:kern w:val="0"/>
          <w:sz w:val="20"/>
          <w:szCs w:val="20"/>
        </w:rPr>
        <w:t>mobility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 xml:space="preserve"> enhancement</w:t>
      </w:r>
      <w:r>
        <w:rPr>
          <w:rFonts w:hint="eastAsia" w:ascii="Arial" w:hAnsi="Arial" w:eastAsia="宋体" w:cs="Arial"/>
          <w:kern w:val="0"/>
          <w:sz w:val="20"/>
          <w:szCs w:val="20"/>
        </w:rPr>
        <w:t>s for IoT-NTN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>.</w:t>
      </w:r>
    </w:p>
    <w:p>
      <w:pPr>
        <w:widowControl/>
        <w:spacing w:after="180"/>
        <w:rPr>
          <w:rFonts w:ascii="Arial" w:hAnsi="Arial" w:eastAsia="宋体" w:cs="Arial"/>
          <w:b/>
          <w:kern w:val="0"/>
          <w:sz w:val="20"/>
          <w:szCs w:val="20"/>
        </w:rPr>
      </w:pPr>
      <w:r>
        <w:rPr>
          <w:rFonts w:hint="eastAsia" w:ascii="Arial" w:hAnsi="Arial" w:eastAsia="宋体" w:cs="Arial"/>
          <w:b/>
          <w:kern w:val="0"/>
          <w:sz w:val="20"/>
          <w:szCs w:val="20"/>
        </w:rPr>
        <w:t>Observation 1: UE in Rel-18 will be in capacity of re-acquiring GNSS position fix in connected mode according to RAN1 progress.</w:t>
      </w:r>
    </w:p>
    <w:p>
      <w:pPr>
        <w:widowControl/>
        <w:spacing w:after="180"/>
        <w:rPr>
          <w:rFonts w:ascii="Arial" w:hAnsi="Arial" w:eastAsia="宋体" w:cs="Arial"/>
          <w:b/>
          <w:bCs/>
          <w:kern w:val="0"/>
          <w:sz w:val="20"/>
          <w:szCs w:val="20"/>
        </w:rPr>
      </w:pPr>
      <w:r>
        <w:rPr>
          <w:rFonts w:hint="eastAsia" w:ascii="Arial" w:hAnsi="Arial" w:eastAsia="宋体" w:cs="Arial"/>
          <w:b/>
          <w:bCs/>
          <w:kern w:val="0"/>
          <w:sz w:val="20"/>
          <w:szCs w:val="20"/>
        </w:rPr>
        <w:t xml:space="preserve">Proposal 1: RAN2 </w:t>
      </w:r>
      <w:r>
        <w:rPr>
          <w:rFonts w:hint="eastAsia" w:ascii="Arial" w:hAnsi="Arial" w:eastAsia="宋体" w:cs="Arial"/>
          <w:b/>
          <w:bCs/>
          <w:kern w:val="0"/>
          <w:sz w:val="20"/>
          <w:szCs w:val="20"/>
        </w:rPr>
        <w:t>is proposed</w:t>
      </w:r>
      <w:r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bCs/>
          <w:kern w:val="0"/>
          <w:sz w:val="20"/>
          <w:szCs w:val="20"/>
        </w:rPr>
        <w:t>to introduce distance-based trigger for triggering intra and inter frequency measurements in connected mode, e.g. the UE is in the cell edge, for both quasi-earth fixed cell and moving cell.</w:t>
      </w:r>
    </w:p>
    <w:p>
      <w:pPr>
        <w:widowControl/>
        <w:spacing w:after="180"/>
        <w:rPr>
          <w:rFonts w:ascii="Arial" w:hAnsi="Arial" w:eastAsia="宋体" w:cs="Arial"/>
          <w:b/>
          <w:bCs/>
          <w:kern w:val="0"/>
          <w:sz w:val="20"/>
          <w:szCs w:val="20"/>
        </w:rPr>
      </w:pPr>
      <w:r>
        <w:rPr>
          <w:rFonts w:hint="eastAsia" w:ascii="Arial" w:hAnsi="Arial" w:eastAsia="宋体" w:cs="Arial"/>
          <w:b/>
          <w:bCs/>
          <w:kern w:val="0"/>
          <w:sz w:val="20"/>
          <w:szCs w:val="20"/>
        </w:rPr>
        <w:t xml:space="preserve">Proposal 2: </w:t>
      </w:r>
      <w:r>
        <w:rPr>
          <w:rFonts w:hint="eastAsia" w:ascii="Arial" w:hAnsi="Arial" w:cs="Arial"/>
          <w:b/>
          <w:bCs/>
        </w:rPr>
        <w:t xml:space="preserve">RAN2 </w:t>
      </w:r>
      <w:r>
        <w:rPr>
          <w:rFonts w:hint="eastAsia" w:ascii="Arial" w:hAnsi="Arial" w:eastAsia="宋体" w:cs="Arial"/>
          <w:b/>
          <w:bCs/>
          <w:kern w:val="0"/>
          <w:sz w:val="20"/>
          <w:szCs w:val="20"/>
        </w:rPr>
        <w:t>is proposed</w:t>
      </w:r>
      <w:r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</w:rPr>
        <w:t xml:space="preserve">to introduce location based CHO </w:t>
      </w:r>
      <w:r>
        <w:rPr>
          <w:rFonts w:hint="eastAsia" w:ascii="Arial" w:hAnsi="Arial" w:cs="Arial"/>
          <w:b/>
          <w:bCs/>
        </w:rPr>
        <w:t xml:space="preserve">mechanism </w:t>
      </w:r>
      <w:r>
        <w:rPr>
          <w:rFonts w:hint="eastAsia" w:ascii="Arial" w:hAnsi="Arial" w:cs="Arial"/>
          <w:b/>
          <w:bCs/>
        </w:rPr>
        <w:t>similar to R17 NR NTN solution for eMTC NTN</w:t>
      </w:r>
      <w:r>
        <w:rPr>
          <w:rFonts w:hint="eastAsia" w:ascii="Arial" w:hAnsi="Arial" w:eastAsia="宋体" w:cs="Arial"/>
          <w:b/>
          <w:bCs/>
          <w:kern w:val="0"/>
          <w:sz w:val="20"/>
          <w:szCs w:val="20"/>
        </w:rPr>
        <w:t>.</w:t>
      </w:r>
      <w:bookmarkStart w:id="0" w:name="_GoBack"/>
      <w:bookmarkEnd w:id="0"/>
    </w:p>
    <w:p>
      <w:pPr>
        <w:widowControl/>
        <w:spacing w:after="180"/>
        <w:rPr>
          <w:rFonts w:ascii="Arial" w:hAnsi="Arial" w:eastAsia="宋体" w:cs="Arial"/>
          <w:kern w:val="0"/>
          <w:sz w:val="20"/>
          <w:szCs w:val="20"/>
          <w:lang w:val="en-GB" w:eastAsia="en-US"/>
        </w:rPr>
      </w:pPr>
    </w:p>
    <w:p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4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Reference</w:t>
      </w:r>
    </w:p>
    <w:p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0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>RP-22</w:t>
      </w:r>
      <w:r>
        <w:rPr>
          <w:rFonts w:hint="eastAsia" w:ascii="Arial" w:hAnsi="Arial" w:eastAsia="宋体" w:cs="Arial"/>
          <w:kern w:val="0"/>
          <w:sz w:val="20"/>
          <w:szCs w:val="20"/>
        </w:rPr>
        <w:t>XXXX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 xml:space="preserve">, </w:t>
      </w:r>
      <w:r>
        <w:rPr>
          <w:rFonts w:hint="eastAsia" w:ascii="Arial" w:hAnsi="Arial" w:eastAsia="宋体" w:cs="Arial"/>
          <w:kern w:val="0"/>
          <w:sz w:val="20"/>
          <w:szCs w:val="20"/>
          <w:lang w:val="en-GB" w:eastAsia="en-US"/>
        </w:rPr>
        <w:t>Report of 3GPP TSG RAN WG2 meeting #119-e, Online</w:t>
      </w:r>
      <w:r>
        <w:rPr>
          <w:rFonts w:hint="eastAsia" w:ascii="Arial" w:hAnsi="Arial" w:eastAsia="宋体" w:cs="Arial"/>
          <w:kern w:val="0"/>
          <w:sz w:val="20"/>
          <w:szCs w:val="20"/>
        </w:rPr>
        <w:t>, 17 - 26 August, 2022</w:t>
      </w:r>
    </w:p>
    <w:p>
      <w:pPr>
        <w:rPr>
          <w:lang w:val="en-GB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4719B2"/>
    <w:multiLevelType w:val="singleLevel"/>
    <w:tmpl w:val="DA4719B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DCAA566"/>
    <w:multiLevelType w:val="singleLevel"/>
    <w:tmpl w:val="2DCAA566"/>
    <w:lvl w:ilvl="0" w:tentative="0">
      <w:start w:val="2"/>
      <w:numFmt w:val="decimal"/>
      <w:lvlText w:val="%1"/>
      <w:lvlJc w:val="left"/>
    </w:lvl>
  </w:abstractNum>
  <w:abstractNum w:abstractNumId="2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791BA57B"/>
    <w:multiLevelType w:val="singleLevel"/>
    <w:tmpl w:val="791BA57B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  <w:sz w:val="15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75A3"/>
    <w:rsid w:val="00016606"/>
    <w:rsid w:val="000172B0"/>
    <w:rsid w:val="00044F6A"/>
    <w:rsid w:val="00047DFF"/>
    <w:rsid w:val="00065420"/>
    <w:rsid w:val="00077D54"/>
    <w:rsid w:val="000A4474"/>
    <w:rsid w:val="000C2C09"/>
    <w:rsid w:val="000D5C94"/>
    <w:rsid w:val="000E0483"/>
    <w:rsid w:val="000F0EDC"/>
    <w:rsid w:val="000F3D5A"/>
    <w:rsid w:val="00165869"/>
    <w:rsid w:val="00196A53"/>
    <w:rsid w:val="001E2496"/>
    <w:rsid w:val="001F7978"/>
    <w:rsid w:val="002215C2"/>
    <w:rsid w:val="00225D63"/>
    <w:rsid w:val="00234354"/>
    <w:rsid w:val="002650A3"/>
    <w:rsid w:val="00291597"/>
    <w:rsid w:val="002B475C"/>
    <w:rsid w:val="002C2C8E"/>
    <w:rsid w:val="002C3E35"/>
    <w:rsid w:val="002D7AFA"/>
    <w:rsid w:val="003043A7"/>
    <w:rsid w:val="00322F59"/>
    <w:rsid w:val="00327D25"/>
    <w:rsid w:val="00380288"/>
    <w:rsid w:val="00382AE9"/>
    <w:rsid w:val="00393089"/>
    <w:rsid w:val="003C34FD"/>
    <w:rsid w:val="003C3A3A"/>
    <w:rsid w:val="003D5478"/>
    <w:rsid w:val="00423B04"/>
    <w:rsid w:val="004628AE"/>
    <w:rsid w:val="004659EF"/>
    <w:rsid w:val="00480B0B"/>
    <w:rsid w:val="004B509A"/>
    <w:rsid w:val="004E4DAD"/>
    <w:rsid w:val="005075A3"/>
    <w:rsid w:val="005179E9"/>
    <w:rsid w:val="00523942"/>
    <w:rsid w:val="00525BBB"/>
    <w:rsid w:val="005C3989"/>
    <w:rsid w:val="005E7E07"/>
    <w:rsid w:val="006100C7"/>
    <w:rsid w:val="00610B28"/>
    <w:rsid w:val="006743B8"/>
    <w:rsid w:val="00680623"/>
    <w:rsid w:val="006A4FB5"/>
    <w:rsid w:val="006B0BFB"/>
    <w:rsid w:val="006D1DA8"/>
    <w:rsid w:val="00721490"/>
    <w:rsid w:val="0074611C"/>
    <w:rsid w:val="007A2ADF"/>
    <w:rsid w:val="007B28E6"/>
    <w:rsid w:val="007E3904"/>
    <w:rsid w:val="00843904"/>
    <w:rsid w:val="00894A29"/>
    <w:rsid w:val="008A5A0B"/>
    <w:rsid w:val="008D110D"/>
    <w:rsid w:val="008E4F97"/>
    <w:rsid w:val="00940BA3"/>
    <w:rsid w:val="00950D36"/>
    <w:rsid w:val="00956A27"/>
    <w:rsid w:val="00975D83"/>
    <w:rsid w:val="00982B04"/>
    <w:rsid w:val="009924F0"/>
    <w:rsid w:val="009A6D82"/>
    <w:rsid w:val="009D3F27"/>
    <w:rsid w:val="009E36A7"/>
    <w:rsid w:val="009E6BC9"/>
    <w:rsid w:val="00A350C4"/>
    <w:rsid w:val="00AC3458"/>
    <w:rsid w:val="00AD67D5"/>
    <w:rsid w:val="00AD727F"/>
    <w:rsid w:val="00B24F10"/>
    <w:rsid w:val="00B73C33"/>
    <w:rsid w:val="00B846FB"/>
    <w:rsid w:val="00B84BEF"/>
    <w:rsid w:val="00BA3C94"/>
    <w:rsid w:val="00BB6E56"/>
    <w:rsid w:val="00C03FFA"/>
    <w:rsid w:val="00C12245"/>
    <w:rsid w:val="00C53226"/>
    <w:rsid w:val="00C95F8C"/>
    <w:rsid w:val="00CD18ED"/>
    <w:rsid w:val="00CF2DAA"/>
    <w:rsid w:val="00D66BFB"/>
    <w:rsid w:val="00D9059D"/>
    <w:rsid w:val="00DA12B1"/>
    <w:rsid w:val="00DA6656"/>
    <w:rsid w:val="00DE5620"/>
    <w:rsid w:val="00E513DD"/>
    <w:rsid w:val="00E82408"/>
    <w:rsid w:val="00ED765C"/>
    <w:rsid w:val="00EF5EE1"/>
    <w:rsid w:val="00F02DFE"/>
    <w:rsid w:val="00F05AB0"/>
    <w:rsid w:val="00F0642D"/>
    <w:rsid w:val="00F0760F"/>
    <w:rsid w:val="00F314FF"/>
    <w:rsid w:val="00F33D13"/>
    <w:rsid w:val="00F47D8B"/>
    <w:rsid w:val="00F627D0"/>
    <w:rsid w:val="00F73587"/>
    <w:rsid w:val="00F841B6"/>
    <w:rsid w:val="00F92EA1"/>
    <w:rsid w:val="00FA19BF"/>
    <w:rsid w:val="00FE5D56"/>
    <w:rsid w:val="01041DE1"/>
    <w:rsid w:val="038A1F16"/>
    <w:rsid w:val="04A37BF0"/>
    <w:rsid w:val="0A1469F1"/>
    <w:rsid w:val="0A173D8A"/>
    <w:rsid w:val="0CBB64AC"/>
    <w:rsid w:val="0CC05689"/>
    <w:rsid w:val="0CD5224C"/>
    <w:rsid w:val="110171B2"/>
    <w:rsid w:val="11CB5693"/>
    <w:rsid w:val="13392934"/>
    <w:rsid w:val="14E836E8"/>
    <w:rsid w:val="15BE553B"/>
    <w:rsid w:val="16A3322F"/>
    <w:rsid w:val="17CD5A7B"/>
    <w:rsid w:val="187A66B9"/>
    <w:rsid w:val="1EB965F4"/>
    <w:rsid w:val="20F63843"/>
    <w:rsid w:val="212D209C"/>
    <w:rsid w:val="36E0052C"/>
    <w:rsid w:val="36F84B57"/>
    <w:rsid w:val="374C0896"/>
    <w:rsid w:val="38FC32F5"/>
    <w:rsid w:val="39030A9D"/>
    <w:rsid w:val="3ECD0998"/>
    <w:rsid w:val="3ED508CA"/>
    <w:rsid w:val="3FA42170"/>
    <w:rsid w:val="3FAF36DB"/>
    <w:rsid w:val="406A14B3"/>
    <w:rsid w:val="41103459"/>
    <w:rsid w:val="43146FF6"/>
    <w:rsid w:val="4599227F"/>
    <w:rsid w:val="46FE4C6E"/>
    <w:rsid w:val="47584A9D"/>
    <w:rsid w:val="47C04462"/>
    <w:rsid w:val="49957D19"/>
    <w:rsid w:val="49BE175E"/>
    <w:rsid w:val="4C173EDE"/>
    <w:rsid w:val="506A04F4"/>
    <w:rsid w:val="51FA450E"/>
    <w:rsid w:val="528B1069"/>
    <w:rsid w:val="53D170F4"/>
    <w:rsid w:val="56581D59"/>
    <w:rsid w:val="567360E6"/>
    <w:rsid w:val="58B12E03"/>
    <w:rsid w:val="58B3131C"/>
    <w:rsid w:val="5A2F5AF5"/>
    <w:rsid w:val="5AFF7905"/>
    <w:rsid w:val="5B492C91"/>
    <w:rsid w:val="5F600D4E"/>
    <w:rsid w:val="609F186D"/>
    <w:rsid w:val="629A11E5"/>
    <w:rsid w:val="660E4242"/>
    <w:rsid w:val="677038E2"/>
    <w:rsid w:val="69293200"/>
    <w:rsid w:val="694347AF"/>
    <w:rsid w:val="694F06EB"/>
    <w:rsid w:val="6A063BDC"/>
    <w:rsid w:val="6BE35659"/>
    <w:rsid w:val="732872C5"/>
    <w:rsid w:val="77447586"/>
    <w:rsid w:val="79C61A14"/>
    <w:rsid w:val="7E886BD8"/>
    <w:rsid w:val="7F7A668F"/>
    <w:rsid w:val="7FF1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8"/>
    <w:semiHidden/>
    <w:unhideWhenUsed/>
    <w:uiPriority w:val="99"/>
    <w:rPr>
      <w:rFonts w:ascii="宋体" w:eastAsia="宋体"/>
      <w:sz w:val="18"/>
      <w:szCs w:val="18"/>
    </w:rPr>
  </w:style>
  <w:style w:type="paragraph" w:styleId="3">
    <w:name w:val="Balloon Text"/>
    <w:basedOn w:val="1"/>
    <w:link w:val="19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"/>
    <w:basedOn w:val="1"/>
    <w:qFormat/>
    <w:uiPriority w:val="0"/>
    <w:pPr>
      <w:ind w:left="568" w:hanging="284"/>
    </w:pPr>
  </w:style>
  <w:style w:type="table" w:styleId="8">
    <w:name w:val="Table Grid"/>
    <w:basedOn w:val="7"/>
    <w:qFormat/>
    <w:uiPriority w:val="0"/>
    <w:rPr>
      <w:rFonts w:ascii="Times New Roman" w:hAnsi="Times New Roman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qFormat/>
    <w:uiPriority w:val="99"/>
    <w:rPr>
      <w:color w:val="0000FF"/>
      <w:u w:val="single"/>
    </w:rPr>
  </w:style>
  <w:style w:type="character" w:customStyle="1" w:styleId="11">
    <w:name w:val="页眉 Char"/>
    <w:basedOn w:val="9"/>
    <w:link w:val="5"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paragraph" w:customStyle="1" w:styleId="13">
    <w:name w:val="TH"/>
    <w:basedOn w:val="1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等线" w:cs="Times New Roman"/>
      <w:b/>
      <w:kern w:val="0"/>
      <w:sz w:val="20"/>
      <w:szCs w:val="20"/>
      <w:lang w:val="en-GB" w:eastAsia="en-US"/>
    </w:rPr>
  </w:style>
  <w:style w:type="paragraph" w:customStyle="1" w:styleId="14">
    <w:name w:val="TF"/>
    <w:basedOn w:val="13"/>
    <w:qFormat/>
    <w:uiPriority w:val="0"/>
    <w:pPr>
      <w:keepNext w:val="0"/>
      <w:spacing w:before="0" w:after="240"/>
    </w:p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B1"/>
    <w:basedOn w:val="6"/>
    <w:qFormat/>
    <w:uiPriority w:val="0"/>
  </w:style>
  <w:style w:type="paragraph" w:customStyle="1" w:styleId="17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8">
    <w:name w:val="文档结构图 Char"/>
    <w:basedOn w:val="9"/>
    <w:link w:val="2"/>
    <w:semiHidden/>
    <w:uiPriority w:val="99"/>
    <w:rPr>
      <w:rFonts w:ascii="宋体" w:eastAsia="宋体"/>
      <w:kern w:val="2"/>
      <w:sz w:val="18"/>
      <w:szCs w:val="18"/>
    </w:rPr>
  </w:style>
  <w:style w:type="character" w:customStyle="1" w:styleId="19">
    <w:name w:val="批注框文本 Char"/>
    <w:basedOn w:val="9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690</Words>
  <Characters>3936</Characters>
  <Lines>32</Lines>
  <Paragraphs>9</Paragraphs>
  <TotalTime>0</TotalTime>
  <ScaleCrop>false</ScaleCrop>
  <LinksUpToDate>false</LinksUpToDate>
  <CharactersWithSpaces>4617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2022-09-30T07:00:00Z</dcterms:created>
  <dc:creator>CMCC_TJY</dc:creator>
  <cp:lastModifiedBy>cmcc_TJY</cp:lastModifiedBy>
  <dcterms:modified xsi:type="dcterms:W3CDTF">2022-09-30T07:24:20Z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C4BFBDF0754647989A975FFADBC4E8DD</vt:lpwstr>
  </property>
</Properties>
</file>